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2FA88" w14:textId="5C674D1D" w:rsidR="00CD3913" w:rsidRPr="003522A9" w:rsidRDefault="004C344B" w:rsidP="004C58CF">
      <w:pPr>
        <w:jc w:val="center"/>
        <w:rPr>
          <w:rFonts w:ascii="Arial" w:hAnsi="Arial" w:cs="Arial"/>
          <w:b/>
          <w:bCs/>
        </w:rPr>
      </w:pPr>
      <w:r w:rsidRPr="004C344B">
        <w:rPr>
          <w:rFonts w:ascii="Arial" w:hAnsi="Arial" w:cs="Arial"/>
          <w:b/>
          <w:bCs/>
        </w:rPr>
        <w:t xml:space="preserve">Interrater </w:t>
      </w:r>
      <w:r w:rsidR="00561D13">
        <w:rPr>
          <w:rFonts w:ascii="Arial" w:hAnsi="Arial" w:cs="Arial"/>
          <w:b/>
          <w:bCs/>
        </w:rPr>
        <w:t>Reliability</w:t>
      </w:r>
      <w:r w:rsidRPr="004C344B">
        <w:rPr>
          <w:rFonts w:ascii="Arial" w:hAnsi="Arial" w:cs="Arial"/>
          <w:b/>
          <w:bCs/>
        </w:rPr>
        <w:t xml:space="preserve"> </w:t>
      </w:r>
      <w:r w:rsidR="0021324C" w:rsidRPr="003522A9">
        <w:rPr>
          <w:rFonts w:ascii="Arial" w:hAnsi="Arial" w:cs="Arial"/>
          <w:b/>
          <w:bCs/>
        </w:rPr>
        <w:t xml:space="preserve">Using </w:t>
      </w:r>
      <w:r w:rsidR="00F22F04">
        <w:rPr>
          <w:rFonts w:ascii="Arial" w:hAnsi="Arial" w:cs="Arial"/>
          <w:b/>
          <w:bCs/>
        </w:rPr>
        <w:t>SAS</w:t>
      </w:r>
    </w:p>
    <w:p w14:paraId="2F020202" w14:textId="77777777" w:rsidR="004C58CF" w:rsidRDefault="004C58CF" w:rsidP="004C58CF">
      <w:pPr>
        <w:jc w:val="center"/>
        <w:rPr>
          <w:rFonts w:ascii="Arial" w:hAnsi="Arial" w:cs="Arial"/>
        </w:rPr>
      </w:pPr>
    </w:p>
    <w:p w14:paraId="3FD71BB1" w14:textId="483A3204" w:rsidR="00FA42CE" w:rsidRDefault="00FA42CE" w:rsidP="004C58CF">
      <w:pPr>
        <w:rPr>
          <w:rFonts w:ascii="Arial" w:hAnsi="Arial" w:cs="Arial"/>
        </w:rPr>
      </w:pPr>
      <w:r>
        <w:rPr>
          <w:rFonts w:ascii="Arial" w:hAnsi="Arial" w:cs="Arial"/>
        </w:rPr>
        <w:t>In this document I explain how to use S</w:t>
      </w:r>
      <w:r w:rsidR="00F22F04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to </w:t>
      </w:r>
      <w:r w:rsidR="0061214C">
        <w:rPr>
          <w:rFonts w:ascii="Arial" w:hAnsi="Arial" w:cs="Arial"/>
        </w:rPr>
        <w:t xml:space="preserve">obtain </w:t>
      </w:r>
      <w:r w:rsidR="00F22F04">
        <w:rPr>
          <w:rFonts w:ascii="Arial" w:hAnsi="Arial" w:cs="Arial"/>
        </w:rPr>
        <w:t>i</w:t>
      </w:r>
      <w:r w:rsidR="004C344B" w:rsidRPr="004C344B">
        <w:rPr>
          <w:rFonts w:ascii="Arial" w:hAnsi="Arial" w:cs="Arial"/>
        </w:rPr>
        <w:t xml:space="preserve">nterrater reliability </w:t>
      </w:r>
      <w:r w:rsidR="004C344B">
        <w:rPr>
          <w:rFonts w:ascii="Arial" w:hAnsi="Arial" w:cs="Arial"/>
        </w:rPr>
        <w:t>indices</w:t>
      </w:r>
      <w:r w:rsidR="0094323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F22F04" w:rsidRPr="00F22F04">
        <w:rPr>
          <w:rFonts w:ascii="Arial" w:hAnsi="Arial" w:cs="Arial"/>
        </w:rPr>
        <w:t>The data for these examples are taken from Table 9.1 in the book (p. 211) and are in the SAS dataset “</w:t>
      </w:r>
      <w:r w:rsidR="00F22F04" w:rsidRPr="00714CC5">
        <w:rPr>
          <w:rFonts w:ascii="Arial" w:hAnsi="Arial" w:cs="Arial"/>
          <w:b/>
          <w:bCs/>
        </w:rPr>
        <w:t>rater.sas7bdat</w:t>
      </w:r>
      <w:r w:rsidR="00F22F04" w:rsidRPr="00F22F04">
        <w:rPr>
          <w:rFonts w:ascii="Arial" w:hAnsi="Arial" w:cs="Arial"/>
        </w:rPr>
        <w:t>”</w:t>
      </w:r>
    </w:p>
    <w:p w14:paraId="70C18785" w14:textId="4B78F1E0" w:rsidR="007216E8" w:rsidRDefault="007216E8" w:rsidP="004C58CF">
      <w:pPr>
        <w:rPr>
          <w:rFonts w:ascii="Arial" w:hAnsi="Arial" w:cs="Arial"/>
        </w:rPr>
      </w:pPr>
    </w:p>
    <w:p w14:paraId="494A394F" w14:textId="7E9AC4BD" w:rsidR="0050210B" w:rsidRPr="002B6CB9" w:rsidRDefault="00D12A1B" w:rsidP="00152FFE">
      <w:pPr>
        <w:rPr>
          <w:rFonts w:ascii="Arial" w:hAnsi="Arial"/>
          <w:szCs w:val="20"/>
          <w:lang w:bidi="ar-SA"/>
        </w:rPr>
      </w:pPr>
      <w:r>
        <w:rPr>
          <w:rFonts w:ascii="Arial" w:hAnsi="Arial"/>
          <w:szCs w:val="20"/>
          <w:lang w:bidi="ar-SA"/>
        </w:rPr>
        <w:t>In the sections below I demonstrate how to obtain values of coefficient alpha</w:t>
      </w:r>
      <w:r w:rsidR="00B6379C">
        <w:rPr>
          <w:rFonts w:ascii="Arial" w:hAnsi="Arial"/>
          <w:szCs w:val="20"/>
          <w:lang w:bidi="ar-SA"/>
        </w:rPr>
        <w:t xml:space="preserve">. There is currently no straightforward way to obtain values of the </w:t>
      </w:r>
      <w:r>
        <w:rPr>
          <w:rFonts w:ascii="Arial" w:hAnsi="Arial"/>
          <w:szCs w:val="20"/>
          <w:lang w:bidi="ar-SA"/>
        </w:rPr>
        <w:t>intraclass correlation</w:t>
      </w:r>
      <w:r w:rsidR="00B6379C">
        <w:rPr>
          <w:rFonts w:ascii="Arial" w:hAnsi="Arial"/>
          <w:szCs w:val="20"/>
          <w:lang w:bidi="ar-SA"/>
        </w:rPr>
        <w:t xml:space="preserve"> in SAS, although a SAS macro for this purpose is available on the SAS website at </w:t>
      </w:r>
      <w:hyperlink r:id="rId8" w:history="1">
        <w:r w:rsidR="00B6379C" w:rsidRPr="00D03F4A">
          <w:rPr>
            <w:rStyle w:val="Hyperlink"/>
            <w:rFonts w:ascii="Arial" w:hAnsi="Arial"/>
            <w:szCs w:val="20"/>
            <w:lang w:bidi="ar-SA"/>
          </w:rPr>
          <w:t>http://support.sas.com/kb/25/031.html</w:t>
        </w:r>
      </w:hyperlink>
      <w:r>
        <w:rPr>
          <w:rFonts w:ascii="Arial" w:hAnsi="Arial"/>
          <w:szCs w:val="20"/>
          <w:lang w:bidi="ar-SA"/>
        </w:rPr>
        <w:t>.</w:t>
      </w:r>
      <w:r w:rsidR="002B6CB9">
        <w:rPr>
          <w:rFonts w:ascii="Arial" w:hAnsi="Arial"/>
          <w:szCs w:val="20"/>
          <w:lang w:bidi="ar-SA"/>
        </w:rPr>
        <w:t xml:space="preserve"> An alternative method is to calculate the various coefficients by hand using estimates of the variance components obtained from </w:t>
      </w:r>
      <w:proofErr w:type="spellStart"/>
      <w:r w:rsidR="002B6CB9" w:rsidRPr="00714CC5">
        <w:rPr>
          <w:rFonts w:ascii="Arial" w:hAnsi="Arial"/>
          <w:b/>
          <w:bCs/>
          <w:iCs/>
          <w:szCs w:val="20"/>
          <w:lang w:bidi="ar-SA"/>
        </w:rPr>
        <w:t>proc</w:t>
      </w:r>
      <w:proofErr w:type="spellEnd"/>
      <w:r w:rsidR="002B6CB9" w:rsidRPr="00714CC5">
        <w:rPr>
          <w:rFonts w:ascii="Arial" w:hAnsi="Arial"/>
          <w:b/>
          <w:bCs/>
          <w:iCs/>
          <w:szCs w:val="20"/>
          <w:lang w:bidi="ar-SA"/>
        </w:rPr>
        <w:t xml:space="preserve"> </w:t>
      </w:r>
      <w:proofErr w:type="spellStart"/>
      <w:r w:rsidR="002B6CB9" w:rsidRPr="00714CC5">
        <w:rPr>
          <w:rFonts w:ascii="Arial" w:hAnsi="Arial"/>
          <w:b/>
          <w:bCs/>
          <w:iCs/>
          <w:szCs w:val="20"/>
          <w:lang w:bidi="ar-SA"/>
        </w:rPr>
        <w:t>glm</w:t>
      </w:r>
      <w:proofErr w:type="spellEnd"/>
      <w:r w:rsidR="002B6CB9">
        <w:rPr>
          <w:rFonts w:ascii="Arial" w:hAnsi="Arial"/>
          <w:szCs w:val="20"/>
          <w:lang w:bidi="ar-SA"/>
        </w:rPr>
        <w:t xml:space="preserve"> or </w:t>
      </w:r>
      <w:proofErr w:type="spellStart"/>
      <w:r w:rsidR="002B6CB9" w:rsidRPr="00714CC5">
        <w:rPr>
          <w:rFonts w:ascii="Arial" w:hAnsi="Arial"/>
          <w:b/>
          <w:bCs/>
          <w:iCs/>
          <w:szCs w:val="20"/>
          <w:lang w:bidi="ar-SA"/>
        </w:rPr>
        <w:t>proc</w:t>
      </w:r>
      <w:proofErr w:type="spellEnd"/>
      <w:r w:rsidR="002B6CB9" w:rsidRPr="00714CC5">
        <w:rPr>
          <w:rFonts w:ascii="Arial" w:hAnsi="Arial"/>
          <w:b/>
          <w:bCs/>
          <w:iCs/>
          <w:szCs w:val="20"/>
          <w:lang w:bidi="ar-SA"/>
        </w:rPr>
        <w:t xml:space="preserve"> mixed</w:t>
      </w:r>
      <w:r w:rsidR="002B6CB9">
        <w:rPr>
          <w:rFonts w:ascii="Arial" w:hAnsi="Arial"/>
          <w:szCs w:val="20"/>
          <w:lang w:bidi="ar-SA"/>
        </w:rPr>
        <w:t>. Refer to the document “G-theory estimation using SAS” for code to o</w:t>
      </w:r>
      <w:bookmarkStart w:id="0" w:name="_GoBack"/>
      <w:bookmarkEnd w:id="0"/>
      <w:r w:rsidR="002B6CB9">
        <w:rPr>
          <w:rFonts w:ascii="Arial" w:hAnsi="Arial"/>
          <w:szCs w:val="20"/>
          <w:lang w:bidi="ar-SA"/>
        </w:rPr>
        <w:t>btain variance component estimates.</w:t>
      </w:r>
    </w:p>
    <w:p w14:paraId="7F540304" w14:textId="77777777" w:rsidR="00B6379C" w:rsidRPr="0050210B" w:rsidRDefault="00B6379C" w:rsidP="00152FFE">
      <w:pPr>
        <w:rPr>
          <w:rFonts w:ascii="Arial" w:hAnsi="Arial"/>
          <w:szCs w:val="20"/>
          <w:lang w:bidi="ar-SA"/>
        </w:rPr>
      </w:pPr>
    </w:p>
    <w:p w14:paraId="6BC41A77" w14:textId="77777777" w:rsidR="002C5F73" w:rsidRPr="00152FFE" w:rsidRDefault="002C5F73" w:rsidP="00152FFE">
      <w:pPr>
        <w:rPr>
          <w:rFonts w:ascii="Arial" w:hAnsi="Arial"/>
          <w:szCs w:val="20"/>
          <w:lang w:bidi="ar-SA"/>
        </w:rPr>
      </w:pPr>
    </w:p>
    <w:p w14:paraId="338005D9" w14:textId="179256CE" w:rsidR="00F8667B" w:rsidRDefault="00D12A1B" w:rsidP="00F8667B">
      <w:pPr>
        <w:ind w:firstLine="360"/>
        <w:jc w:val="center"/>
        <w:rPr>
          <w:rFonts w:ascii="Arial" w:hAnsi="Arial"/>
          <w:b/>
          <w:bCs/>
          <w:szCs w:val="20"/>
          <w:lang w:bidi="ar-SA"/>
        </w:rPr>
      </w:pPr>
      <w:r>
        <w:rPr>
          <w:rFonts w:ascii="Arial" w:hAnsi="Arial"/>
          <w:b/>
          <w:bCs/>
          <w:szCs w:val="20"/>
          <w:lang w:bidi="ar-SA"/>
        </w:rPr>
        <w:t>Coefficient Alpha for Interrater Reliability</w:t>
      </w:r>
    </w:p>
    <w:p w14:paraId="6F07794D" w14:textId="6418CF43" w:rsidR="002C5F73" w:rsidRDefault="002C5F73" w:rsidP="002C5F73">
      <w:pPr>
        <w:rPr>
          <w:rFonts w:ascii="Arial" w:hAnsi="Arial"/>
          <w:b/>
          <w:bCs/>
          <w:szCs w:val="20"/>
          <w:lang w:bidi="ar-SA"/>
        </w:rPr>
      </w:pPr>
    </w:p>
    <w:p w14:paraId="26D4208C" w14:textId="0E1C3970" w:rsidR="00D12A1B" w:rsidRPr="00714CC5" w:rsidRDefault="00943235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t xml:space="preserve">To obtain values of coefficient alpha, use the </w:t>
      </w:r>
      <w:proofErr w:type="spellStart"/>
      <w:r w:rsidR="00BA4144" w:rsidRPr="00714CC5">
        <w:rPr>
          <w:rFonts w:ascii="Arial" w:hAnsi="Arial"/>
          <w:b/>
          <w:iCs/>
          <w:szCs w:val="20"/>
          <w:lang w:bidi="ar-SA"/>
        </w:rPr>
        <w:t>proc</w:t>
      </w:r>
      <w:proofErr w:type="spellEnd"/>
      <w:r w:rsidR="00BA4144" w:rsidRPr="00714CC5">
        <w:rPr>
          <w:rFonts w:ascii="Arial" w:hAnsi="Arial"/>
          <w:b/>
          <w:iCs/>
          <w:szCs w:val="20"/>
          <w:lang w:bidi="ar-SA"/>
        </w:rPr>
        <w:t xml:space="preserve"> </w:t>
      </w:r>
      <w:proofErr w:type="spellStart"/>
      <w:r w:rsidR="00BA4144" w:rsidRPr="00714CC5">
        <w:rPr>
          <w:rFonts w:ascii="Arial" w:hAnsi="Arial"/>
          <w:b/>
          <w:iCs/>
          <w:szCs w:val="20"/>
          <w:lang w:bidi="ar-SA"/>
        </w:rPr>
        <w:t>corr</w:t>
      </w:r>
      <w:proofErr w:type="spellEnd"/>
      <w:r w:rsidR="00BA4144">
        <w:rPr>
          <w:rFonts w:ascii="Arial" w:hAnsi="Arial"/>
          <w:bCs/>
          <w:i/>
          <w:szCs w:val="20"/>
          <w:lang w:bidi="ar-SA"/>
        </w:rPr>
        <w:t xml:space="preserve"> </w:t>
      </w:r>
      <w:r w:rsidR="00BA4144">
        <w:rPr>
          <w:rFonts w:ascii="Arial" w:hAnsi="Arial"/>
          <w:bCs/>
          <w:szCs w:val="20"/>
          <w:lang w:bidi="ar-SA"/>
        </w:rPr>
        <w:t xml:space="preserve">with the specification </w:t>
      </w:r>
      <w:r w:rsidR="00BA4144" w:rsidRPr="00714CC5">
        <w:rPr>
          <w:rFonts w:ascii="Arial" w:hAnsi="Arial"/>
          <w:b/>
          <w:iCs/>
          <w:szCs w:val="20"/>
          <w:lang w:bidi="ar-SA"/>
        </w:rPr>
        <w:t>alpha</w:t>
      </w:r>
      <w:r w:rsidR="00BA4144">
        <w:rPr>
          <w:rFonts w:ascii="Arial" w:hAnsi="Arial"/>
          <w:bCs/>
          <w:i/>
          <w:szCs w:val="20"/>
          <w:lang w:bidi="ar-SA"/>
        </w:rPr>
        <w:t xml:space="preserve">. </w:t>
      </w:r>
      <w:r w:rsidR="00BA4144">
        <w:rPr>
          <w:rFonts w:ascii="Arial" w:hAnsi="Arial"/>
          <w:bCs/>
          <w:szCs w:val="20"/>
          <w:lang w:bidi="ar-SA"/>
        </w:rPr>
        <w:t xml:space="preserve">The variables are the three raters. The specification </w:t>
      </w:r>
      <w:proofErr w:type="spellStart"/>
      <w:r w:rsidR="00BA4144" w:rsidRPr="00714CC5">
        <w:rPr>
          <w:rFonts w:ascii="Arial" w:hAnsi="Arial"/>
          <w:b/>
          <w:iCs/>
          <w:szCs w:val="20"/>
          <w:lang w:bidi="ar-SA"/>
        </w:rPr>
        <w:t>nocorr</w:t>
      </w:r>
      <w:proofErr w:type="spellEnd"/>
      <w:r w:rsidR="00BA4144">
        <w:rPr>
          <w:rFonts w:ascii="Arial" w:hAnsi="Arial"/>
          <w:bCs/>
          <w:szCs w:val="20"/>
          <w:lang w:bidi="ar-SA"/>
        </w:rPr>
        <w:t xml:space="preserve"> suppresses printing of the correlation matrix.</w:t>
      </w:r>
      <w:r w:rsidR="00714CC5">
        <w:rPr>
          <w:rFonts w:ascii="Arial" w:hAnsi="Arial"/>
          <w:bCs/>
          <w:szCs w:val="20"/>
          <w:lang w:bidi="ar-SA"/>
        </w:rPr>
        <w:t xml:space="preserve"> The specification </w:t>
      </w:r>
      <w:proofErr w:type="spellStart"/>
      <w:r w:rsidR="00714CC5">
        <w:rPr>
          <w:rFonts w:ascii="Arial" w:hAnsi="Arial"/>
          <w:b/>
          <w:szCs w:val="20"/>
          <w:lang w:bidi="ar-SA"/>
        </w:rPr>
        <w:t>nomiss</w:t>
      </w:r>
      <w:proofErr w:type="spellEnd"/>
      <w:r w:rsidR="00714CC5">
        <w:rPr>
          <w:rFonts w:ascii="Arial" w:hAnsi="Arial"/>
          <w:bCs/>
          <w:szCs w:val="20"/>
          <w:lang w:bidi="ar-SA"/>
        </w:rPr>
        <w:t xml:space="preserve"> specifies </w:t>
      </w:r>
      <w:proofErr w:type="spellStart"/>
      <w:r w:rsidR="00714CC5">
        <w:rPr>
          <w:rFonts w:ascii="Arial" w:hAnsi="Arial"/>
          <w:bCs/>
          <w:szCs w:val="20"/>
          <w:lang w:bidi="ar-SA"/>
        </w:rPr>
        <w:t>listwise</w:t>
      </w:r>
      <w:proofErr w:type="spellEnd"/>
      <w:r w:rsidR="00714CC5">
        <w:rPr>
          <w:rFonts w:ascii="Arial" w:hAnsi="Arial"/>
          <w:bCs/>
          <w:szCs w:val="20"/>
          <w:lang w:bidi="ar-SA"/>
        </w:rPr>
        <w:t xml:space="preserve"> missing data handling.</w:t>
      </w:r>
    </w:p>
    <w:p w14:paraId="12DB7A2D" w14:textId="77777777" w:rsidR="00943235" w:rsidRPr="00943235" w:rsidRDefault="00943235" w:rsidP="002C5F73">
      <w:pPr>
        <w:rPr>
          <w:rFonts w:ascii="Arial" w:hAnsi="Arial"/>
          <w:bCs/>
          <w:szCs w:val="20"/>
          <w:lang w:bidi="ar-SA"/>
        </w:rPr>
      </w:pPr>
    </w:p>
    <w:p w14:paraId="7AB2A034" w14:textId="09714E5A" w:rsidR="00BA4144" w:rsidRPr="00BA4144" w:rsidRDefault="00BA4144" w:rsidP="00BA4144">
      <w:pPr>
        <w:rPr>
          <w:rFonts w:ascii="Arial" w:hAnsi="Arial"/>
          <w:b/>
          <w:bCs/>
          <w:szCs w:val="20"/>
          <w:lang w:bidi="ar-SA"/>
        </w:rPr>
      </w:pPr>
      <w:bookmarkStart w:id="1" w:name="_Hlk64739924"/>
      <w:proofErr w:type="spellStart"/>
      <w:r w:rsidRPr="00BA4144">
        <w:rPr>
          <w:rFonts w:ascii="Arial" w:hAnsi="Arial"/>
          <w:b/>
          <w:bCs/>
          <w:szCs w:val="20"/>
          <w:lang w:bidi="ar-SA"/>
        </w:rPr>
        <w:t>proc</w:t>
      </w:r>
      <w:proofErr w:type="spellEnd"/>
      <w:r w:rsidRPr="00BA4144">
        <w:rPr>
          <w:rFonts w:ascii="Arial" w:hAnsi="Arial"/>
          <w:b/>
          <w:bCs/>
          <w:szCs w:val="20"/>
          <w:lang w:bidi="ar-SA"/>
        </w:rPr>
        <w:t xml:space="preserve"> </w:t>
      </w:r>
      <w:proofErr w:type="spellStart"/>
      <w:r w:rsidRPr="00BA4144">
        <w:rPr>
          <w:rFonts w:ascii="Arial" w:hAnsi="Arial"/>
          <w:b/>
          <w:bCs/>
          <w:szCs w:val="20"/>
          <w:lang w:bidi="ar-SA"/>
        </w:rPr>
        <w:t>corr</w:t>
      </w:r>
      <w:proofErr w:type="spellEnd"/>
      <w:r w:rsidRPr="00BA4144">
        <w:rPr>
          <w:rFonts w:ascii="Arial" w:hAnsi="Arial"/>
          <w:b/>
          <w:bCs/>
          <w:szCs w:val="20"/>
          <w:lang w:bidi="ar-SA"/>
        </w:rPr>
        <w:t xml:space="preserve"> data=</w:t>
      </w:r>
      <w:r w:rsidRPr="00714CC5">
        <w:rPr>
          <w:rFonts w:ascii="Arial" w:hAnsi="Arial"/>
          <w:szCs w:val="20"/>
          <w:lang w:bidi="ar-SA"/>
        </w:rPr>
        <w:t>rater</w:t>
      </w:r>
      <w:r w:rsidRPr="00BA4144">
        <w:rPr>
          <w:rFonts w:ascii="Arial" w:hAnsi="Arial"/>
          <w:b/>
          <w:bCs/>
          <w:szCs w:val="20"/>
          <w:lang w:bidi="ar-SA"/>
        </w:rPr>
        <w:t xml:space="preserve"> </w:t>
      </w:r>
      <w:proofErr w:type="spellStart"/>
      <w:r w:rsidRPr="00BA4144">
        <w:rPr>
          <w:rFonts w:ascii="Arial" w:hAnsi="Arial"/>
          <w:b/>
          <w:bCs/>
          <w:szCs w:val="20"/>
          <w:lang w:bidi="ar-SA"/>
        </w:rPr>
        <w:t>nocorr</w:t>
      </w:r>
      <w:proofErr w:type="spellEnd"/>
      <w:r w:rsidRPr="00BA4144">
        <w:rPr>
          <w:rFonts w:ascii="Arial" w:hAnsi="Arial"/>
          <w:b/>
          <w:bCs/>
          <w:szCs w:val="20"/>
          <w:lang w:bidi="ar-SA"/>
        </w:rPr>
        <w:t xml:space="preserve"> alpha</w:t>
      </w:r>
      <w:r w:rsidR="00714CC5">
        <w:rPr>
          <w:rFonts w:ascii="Arial" w:hAnsi="Arial"/>
          <w:b/>
          <w:bCs/>
          <w:szCs w:val="20"/>
          <w:lang w:bidi="ar-SA"/>
        </w:rPr>
        <w:t xml:space="preserve"> </w:t>
      </w:r>
      <w:proofErr w:type="spellStart"/>
      <w:r w:rsidR="00714CC5">
        <w:rPr>
          <w:rFonts w:ascii="Arial" w:hAnsi="Arial"/>
          <w:b/>
          <w:bCs/>
          <w:szCs w:val="20"/>
          <w:lang w:bidi="ar-SA"/>
        </w:rPr>
        <w:t>nomiss</w:t>
      </w:r>
      <w:proofErr w:type="spellEnd"/>
      <w:r w:rsidRPr="00BA4144">
        <w:rPr>
          <w:rFonts w:ascii="Arial" w:hAnsi="Arial"/>
          <w:b/>
          <w:bCs/>
          <w:szCs w:val="20"/>
          <w:lang w:bidi="ar-SA"/>
        </w:rPr>
        <w:t>;</w:t>
      </w:r>
    </w:p>
    <w:p w14:paraId="31B8E567" w14:textId="77777777" w:rsidR="00BA4144" w:rsidRPr="00BA4144" w:rsidRDefault="00BA4144" w:rsidP="00BA4144">
      <w:pPr>
        <w:rPr>
          <w:rFonts w:ascii="Arial" w:hAnsi="Arial"/>
          <w:b/>
          <w:bCs/>
          <w:szCs w:val="20"/>
          <w:lang w:bidi="ar-SA"/>
        </w:rPr>
      </w:pPr>
      <w:r w:rsidRPr="00BA4144">
        <w:rPr>
          <w:rFonts w:ascii="Arial" w:hAnsi="Arial"/>
          <w:b/>
          <w:bCs/>
          <w:szCs w:val="20"/>
          <w:lang w:bidi="ar-SA"/>
        </w:rPr>
        <w:t xml:space="preserve">  variables </w:t>
      </w:r>
      <w:r w:rsidRPr="00714CC5">
        <w:rPr>
          <w:rFonts w:ascii="Arial" w:hAnsi="Arial"/>
          <w:szCs w:val="20"/>
          <w:lang w:bidi="ar-SA"/>
        </w:rPr>
        <w:t>rater1 rater2 rater3</w:t>
      </w:r>
      <w:r w:rsidRPr="00BA4144">
        <w:rPr>
          <w:rFonts w:ascii="Arial" w:hAnsi="Arial"/>
          <w:b/>
          <w:bCs/>
          <w:szCs w:val="20"/>
          <w:lang w:bidi="ar-SA"/>
        </w:rPr>
        <w:t>;</w:t>
      </w:r>
    </w:p>
    <w:p w14:paraId="34947C47" w14:textId="6161663C" w:rsidR="00D12A1B" w:rsidRDefault="00BA4144" w:rsidP="00BA4144">
      <w:pPr>
        <w:rPr>
          <w:rFonts w:ascii="Arial" w:hAnsi="Arial"/>
          <w:b/>
          <w:bCs/>
          <w:szCs w:val="20"/>
          <w:lang w:bidi="ar-SA"/>
        </w:rPr>
      </w:pPr>
      <w:r w:rsidRPr="00BA4144">
        <w:rPr>
          <w:rFonts w:ascii="Arial" w:hAnsi="Arial"/>
          <w:b/>
          <w:bCs/>
          <w:szCs w:val="20"/>
          <w:lang w:bidi="ar-SA"/>
        </w:rPr>
        <w:t>run;</w:t>
      </w:r>
    </w:p>
    <w:bookmarkEnd w:id="1"/>
    <w:p w14:paraId="709BEBA1" w14:textId="28AB658B" w:rsidR="00BA4144" w:rsidRDefault="00BA4144" w:rsidP="00BA4144">
      <w:pPr>
        <w:rPr>
          <w:rFonts w:ascii="Arial" w:hAnsi="Arial"/>
          <w:b/>
          <w:bCs/>
          <w:szCs w:val="20"/>
          <w:lang w:bidi="ar-SA"/>
        </w:rPr>
      </w:pPr>
    </w:p>
    <w:p w14:paraId="52634842" w14:textId="5D233DBF" w:rsidR="00BA4144" w:rsidRPr="00BA4144" w:rsidRDefault="00BA4144" w:rsidP="00BA4144">
      <w:pPr>
        <w:rPr>
          <w:rFonts w:ascii="Arial" w:hAnsi="Arial"/>
          <w:bCs/>
          <w:szCs w:val="20"/>
          <w:lang w:bidi="ar-SA"/>
        </w:rPr>
      </w:pPr>
      <w:r w:rsidRPr="00BA4144">
        <w:rPr>
          <w:rFonts w:ascii="Arial" w:hAnsi="Arial"/>
          <w:bCs/>
          <w:szCs w:val="20"/>
          <w:lang w:bidi="ar-SA"/>
        </w:rPr>
        <w:t>These</w:t>
      </w:r>
      <w:r>
        <w:rPr>
          <w:rFonts w:ascii="Arial" w:hAnsi="Arial"/>
          <w:bCs/>
          <w:szCs w:val="20"/>
          <w:lang w:bidi="ar-SA"/>
        </w:rPr>
        <w:t xml:space="preserve"> commands yield the table below. </w:t>
      </w:r>
    </w:p>
    <w:p w14:paraId="3DDACE47" w14:textId="293F307A" w:rsidR="00D12A1B" w:rsidRDefault="00D12A1B" w:rsidP="002C5F73">
      <w:pPr>
        <w:rPr>
          <w:rFonts w:ascii="Arial" w:hAnsi="Arial"/>
          <w:bCs/>
          <w:szCs w:val="20"/>
          <w:lang w:bidi="ar-SA"/>
        </w:rPr>
      </w:pPr>
    </w:p>
    <w:tbl>
      <w:tblPr>
        <w:tblW w:w="0" w:type="auto"/>
        <w:tblInd w:w="15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7"/>
        <w:gridCol w:w="1477"/>
      </w:tblGrid>
      <w:tr w:rsidR="00BA4144" w14:paraId="48C2E539" w14:textId="77777777" w:rsidTr="00BA4144">
        <w:trPr>
          <w:cantSplit/>
          <w:tblHeader/>
        </w:trPr>
        <w:tc>
          <w:tcPr>
            <w:tcW w:w="2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14:paraId="4070F710" w14:textId="77777777" w:rsidR="00BA4144" w:rsidRDefault="00BA4144" w:rsidP="00D25742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Cronbach Coefficient Alpha</w:t>
            </w:r>
          </w:p>
        </w:tc>
      </w:tr>
      <w:tr w:rsidR="00BA4144" w14:paraId="5231FEF2" w14:textId="77777777" w:rsidTr="00BA4144">
        <w:trPr>
          <w:cantSplit/>
          <w:tblHeader/>
        </w:trPr>
        <w:tc>
          <w:tcPr>
            <w:tcW w:w="148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14:paraId="77E08F53" w14:textId="77777777" w:rsidR="00BA4144" w:rsidRDefault="00BA4144" w:rsidP="00D25742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Variables</w:t>
            </w:r>
          </w:p>
        </w:tc>
        <w:tc>
          <w:tcPr>
            <w:tcW w:w="14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14:paraId="7CE75843" w14:textId="77777777" w:rsidR="00BA4144" w:rsidRDefault="00BA4144" w:rsidP="00D25742">
            <w:pPr>
              <w:keepNext/>
              <w:adjustRightInd w:val="0"/>
              <w:spacing w:before="60" w:after="6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Alpha</w:t>
            </w:r>
          </w:p>
        </w:tc>
      </w:tr>
      <w:tr w:rsidR="00BA4144" w14:paraId="6FAC4078" w14:textId="77777777" w:rsidTr="00BA4144">
        <w:trPr>
          <w:cantSplit/>
        </w:trPr>
        <w:tc>
          <w:tcPr>
            <w:tcW w:w="148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30E6673" w14:textId="77777777" w:rsidR="00BA4144" w:rsidRDefault="00BA4144" w:rsidP="00D25742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Raw</w:t>
            </w:r>
          </w:p>
        </w:tc>
        <w:tc>
          <w:tcPr>
            <w:tcW w:w="14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A7D3021" w14:textId="77777777" w:rsidR="00BA4144" w:rsidRDefault="00BA4144" w:rsidP="00D25742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0.957111</w:t>
            </w:r>
          </w:p>
        </w:tc>
      </w:tr>
      <w:tr w:rsidR="00BA4144" w14:paraId="1F7F7351" w14:textId="77777777" w:rsidTr="00BA4144">
        <w:trPr>
          <w:cantSplit/>
        </w:trPr>
        <w:tc>
          <w:tcPr>
            <w:tcW w:w="148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E323DAB" w14:textId="77777777" w:rsidR="00BA4144" w:rsidRDefault="00BA4144" w:rsidP="00D25742">
            <w:pPr>
              <w:keepNext/>
              <w:adjustRightInd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Standardized</w:t>
            </w:r>
          </w:p>
        </w:tc>
        <w:tc>
          <w:tcPr>
            <w:tcW w:w="1477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874AF8D" w14:textId="77777777" w:rsidR="00BA4144" w:rsidRDefault="00BA4144" w:rsidP="00D25742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0.959369</w:t>
            </w:r>
          </w:p>
        </w:tc>
      </w:tr>
    </w:tbl>
    <w:p w14:paraId="42D3599B" w14:textId="345C2AB0" w:rsidR="00D12A1B" w:rsidRDefault="00D12A1B" w:rsidP="002C5F73">
      <w:pPr>
        <w:rPr>
          <w:rFonts w:ascii="Arial" w:hAnsi="Arial"/>
          <w:bCs/>
          <w:szCs w:val="20"/>
          <w:lang w:bidi="ar-SA"/>
        </w:rPr>
      </w:pPr>
    </w:p>
    <w:p w14:paraId="4EDE7003" w14:textId="2AE3D07F" w:rsidR="00D12A1B" w:rsidRPr="00BA4144" w:rsidRDefault="00D12A1B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t>Note that this is the same (once rounded) as the value of .96 reported on page 215 of the text.</w:t>
      </w:r>
      <w:r w:rsidR="00943235">
        <w:rPr>
          <w:rFonts w:ascii="Arial" w:hAnsi="Arial"/>
          <w:bCs/>
          <w:szCs w:val="20"/>
          <w:lang w:bidi="ar-SA"/>
        </w:rPr>
        <w:t xml:space="preserve"> </w:t>
      </w:r>
      <w:r w:rsidR="00BA4144">
        <w:rPr>
          <w:rFonts w:ascii="Arial" w:hAnsi="Arial"/>
          <w:bCs/>
          <w:szCs w:val="20"/>
          <w:lang w:bidi="ar-SA"/>
        </w:rPr>
        <w:t xml:space="preserve">The value in the row labeled “standardized” should only be interpreted if the variables are all in </w:t>
      </w:r>
      <w:r w:rsidR="00BA4144">
        <w:rPr>
          <w:rFonts w:ascii="Arial" w:hAnsi="Arial"/>
          <w:bCs/>
          <w:i/>
          <w:szCs w:val="20"/>
          <w:lang w:bidi="ar-SA"/>
        </w:rPr>
        <w:t>z</w:t>
      </w:r>
      <w:r w:rsidR="00BA4144">
        <w:rPr>
          <w:rFonts w:ascii="Arial" w:hAnsi="Arial"/>
          <w:bCs/>
          <w:szCs w:val="20"/>
          <w:lang w:bidi="ar-SA"/>
        </w:rPr>
        <w:t>-score form or are otherwise in the same metric.</w:t>
      </w:r>
    </w:p>
    <w:p w14:paraId="631B5360" w14:textId="2A5A728D" w:rsidR="00D12A1B" w:rsidRDefault="00D12A1B" w:rsidP="002C5F73">
      <w:pPr>
        <w:rPr>
          <w:rFonts w:ascii="Arial" w:hAnsi="Arial"/>
          <w:bCs/>
          <w:szCs w:val="20"/>
          <w:lang w:bidi="ar-SA"/>
        </w:rPr>
      </w:pPr>
    </w:p>
    <w:p w14:paraId="6AE95B8B" w14:textId="71BD1F47" w:rsidR="00D12A1B" w:rsidRDefault="00D12A1B" w:rsidP="002C5F73">
      <w:pPr>
        <w:rPr>
          <w:rFonts w:ascii="Arial" w:hAnsi="Arial"/>
          <w:bCs/>
          <w:szCs w:val="20"/>
          <w:lang w:bidi="ar-SA"/>
        </w:rPr>
      </w:pPr>
    </w:p>
    <w:sectPr w:rsidR="00D12A1B" w:rsidSect="0003036B">
      <w:headerReference w:type="default" r:id="rId9"/>
      <w:pgSz w:w="12240" w:h="15840"/>
      <w:pgMar w:top="1152" w:right="1440" w:bottom="1440" w:left="1152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1EE71" w14:textId="77777777" w:rsidR="007D5017" w:rsidRDefault="007D5017" w:rsidP="0061214C">
      <w:r>
        <w:separator/>
      </w:r>
    </w:p>
  </w:endnote>
  <w:endnote w:type="continuationSeparator" w:id="0">
    <w:p w14:paraId="511AB429" w14:textId="77777777" w:rsidR="007D5017" w:rsidRDefault="007D5017" w:rsidP="00612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AE3FE" w14:textId="77777777" w:rsidR="007D5017" w:rsidRDefault="007D5017" w:rsidP="0061214C">
      <w:r>
        <w:separator/>
      </w:r>
    </w:p>
  </w:footnote>
  <w:footnote w:type="continuationSeparator" w:id="0">
    <w:p w14:paraId="2FCA23D9" w14:textId="77777777" w:rsidR="007D5017" w:rsidRDefault="007D5017" w:rsidP="00612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4A48D" w14:textId="47D062E5" w:rsidR="0003036B" w:rsidRDefault="0003036B" w:rsidP="0003036B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46CA81CE" w14:textId="3F80B5EF" w:rsidR="0003036B" w:rsidRDefault="0003036B" w:rsidP="0003036B">
    <w:pPr>
      <w:pStyle w:val="Header"/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5B2E221C" w14:textId="77777777" w:rsidR="0003036B" w:rsidRDefault="000303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0"/>
    <w:lvl w:ilvl="0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 w15:restartNumberingAfterBreak="0">
    <w:nsid w:val="00000008"/>
    <w:multiLevelType w:val="singleLevel"/>
    <w:tmpl w:val="00000000"/>
    <w:lvl w:ilvl="0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 w15:restartNumberingAfterBreak="0">
    <w:nsid w:val="0000000D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 w15:restartNumberingAfterBreak="0">
    <w:nsid w:val="00000010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 w15:restartNumberingAfterBreak="0">
    <w:nsid w:val="00000011"/>
    <w:multiLevelType w:val="singleLevel"/>
    <w:tmpl w:val="00000000"/>
    <w:lvl w:ilvl="0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6" w15:restartNumberingAfterBreak="0">
    <w:nsid w:val="00000012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7" w15:restartNumberingAfterBreak="0">
    <w:nsid w:val="00000013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8" w15:restartNumberingAfterBreak="0">
    <w:nsid w:val="00000014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00000015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0" w15:restartNumberingAfterBreak="0">
    <w:nsid w:val="00000016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1" w15:restartNumberingAfterBreak="0">
    <w:nsid w:val="00000017"/>
    <w:multiLevelType w:val="singleLevel"/>
    <w:tmpl w:val="00000000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00000018"/>
    <w:multiLevelType w:val="singleLevel"/>
    <w:tmpl w:val="00000000"/>
    <w:lvl w:ilvl="0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3" w15:restartNumberingAfterBreak="0">
    <w:nsid w:val="0000001E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 w15:restartNumberingAfterBreak="0">
    <w:nsid w:val="02C32A1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03533A39"/>
    <w:multiLevelType w:val="hybridMultilevel"/>
    <w:tmpl w:val="8040A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283786"/>
    <w:multiLevelType w:val="hybridMultilevel"/>
    <w:tmpl w:val="2A186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45F20"/>
    <w:multiLevelType w:val="hybridMultilevel"/>
    <w:tmpl w:val="24F678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7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3"/>
  </w:num>
  <w:num w:numId="12">
    <w:abstractNumId w:val="5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8CF"/>
    <w:rsid w:val="0003036B"/>
    <w:rsid w:val="000454E8"/>
    <w:rsid w:val="00052BD0"/>
    <w:rsid w:val="0007022A"/>
    <w:rsid w:val="00085582"/>
    <w:rsid w:val="000A6B5A"/>
    <w:rsid w:val="000C7295"/>
    <w:rsid w:val="000F68BE"/>
    <w:rsid w:val="001041FC"/>
    <w:rsid w:val="00137D01"/>
    <w:rsid w:val="00152FFE"/>
    <w:rsid w:val="0016289B"/>
    <w:rsid w:val="00175303"/>
    <w:rsid w:val="0017689F"/>
    <w:rsid w:val="001873E1"/>
    <w:rsid w:val="00195333"/>
    <w:rsid w:val="001D394B"/>
    <w:rsid w:val="002005B5"/>
    <w:rsid w:val="0021324C"/>
    <w:rsid w:val="002279AF"/>
    <w:rsid w:val="00276F51"/>
    <w:rsid w:val="00281115"/>
    <w:rsid w:val="002B6CB9"/>
    <w:rsid w:val="002C111F"/>
    <w:rsid w:val="002C5F73"/>
    <w:rsid w:val="00305F80"/>
    <w:rsid w:val="0032104A"/>
    <w:rsid w:val="00332A5A"/>
    <w:rsid w:val="00343BEC"/>
    <w:rsid w:val="003510DA"/>
    <w:rsid w:val="003522A9"/>
    <w:rsid w:val="00364325"/>
    <w:rsid w:val="0039673E"/>
    <w:rsid w:val="003D5107"/>
    <w:rsid w:val="003F1B9D"/>
    <w:rsid w:val="003F5837"/>
    <w:rsid w:val="00434E21"/>
    <w:rsid w:val="00455D0D"/>
    <w:rsid w:val="00477800"/>
    <w:rsid w:val="004C344B"/>
    <w:rsid w:val="004C4780"/>
    <w:rsid w:val="004C58CF"/>
    <w:rsid w:val="004D5E6B"/>
    <w:rsid w:val="004F0D81"/>
    <w:rsid w:val="0050210B"/>
    <w:rsid w:val="00523ABE"/>
    <w:rsid w:val="00533B4C"/>
    <w:rsid w:val="00561D13"/>
    <w:rsid w:val="00566822"/>
    <w:rsid w:val="00573E1F"/>
    <w:rsid w:val="00593301"/>
    <w:rsid w:val="005B11BA"/>
    <w:rsid w:val="005E2D90"/>
    <w:rsid w:val="005E62F6"/>
    <w:rsid w:val="00602F36"/>
    <w:rsid w:val="0061214C"/>
    <w:rsid w:val="00622ACC"/>
    <w:rsid w:val="00640989"/>
    <w:rsid w:val="006647A2"/>
    <w:rsid w:val="00681DAD"/>
    <w:rsid w:val="006C6770"/>
    <w:rsid w:val="00710942"/>
    <w:rsid w:val="00714CC5"/>
    <w:rsid w:val="007216E8"/>
    <w:rsid w:val="0073153C"/>
    <w:rsid w:val="007505A4"/>
    <w:rsid w:val="00752A5A"/>
    <w:rsid w:val="0076504A"/>
    <w:rsid w:val="007D1FB3"/>
    <w:rsid w:val="007D5017"/>
    <w:rsid w:val="008223B7"/>
    <w:rsid w:val="0086746B"/>
    <w:rsid w:val="008724BA"/>
    <w:rsid w:val="008852AE"/>
    <w:rsid w:val="008A3CC3"/>
    <w:rsid w:val="008A6DA0"/>
    <w:rsid w:val="008B602C"/>
    <w:rsid w:val="009006DD"/>
    <w:rsid w:val="00935F1B"/>
    <w:rsid w:val="0094012A"/>
    <w:rsid w:val="00943235"/>
    <w:rsid w:val="0094624F"/>
    <w:rsid w:val="009B0A63"/>
    <w:rsid w:val="009D0181"/>
    <w:rsid w:val="009D0FC3"/>
    <w:rsid w:val="009E38C5"/>
    <w:rsid w:val="009F3D7B"/>
    <w:rsid w:val="00A37E24"/>
    <w:rsid w:val="00A44940"/>
    <w:rsid w:val="00AD3AE6"/>
    <w:rsid w:val="00B15047"/>
    <w:rsid w:val="00B15A14"/>
    <w:rsid w:val="00B6379C"/>
    <w:rsid w:val="00B66C16"/>
    <w:rsid w:val="00B679E3"/>
    <w:rsid w:val="00B7260C"/>
    <w:rsid w:val="00B77FAE"/>
    <w:rsid w:val="00B9267E"/>
    <w:rsid w:val="00BA4144"/>
    <w:rsid w:val="00BC6E71"/>
    <w:rsid w:val="00BD4140"/>
    <w:rsid w:val="00C06806"/>
    <w:rsid w:val="00C501F5"/>
    <w:rsid w:val="00C7401D"/>
    <w:rsid w:val="00C8150B"/>
    <w:rsid w:val="00CD3913"/>
    <w:rsid w:val="00CE770F"/>
    <w:rsid w:val="00D008F8"/>
    <w:rsid w:val="00D025BD"/>
    <w:rsid w:val="00D12A1B"/>
    <w:rsid w:val="00D16D74"/>
    <w:rsid w:val="00D32247"/>
    <w:rsid w:val="00D47D73"/>
    <w:rsid w:val="00D54467"/>
    <w:rsid w:val="00D81E8A"/>
    <w:rsid w:val="00D974CA"/>
    <w:rsid w:val="00DF14CC"/>
    <w:rsid w:val="00E14128"/>
    <w:rsid w:val="00E25A31"/>
    <w:rsid w:val="00E27D3A"/>
    <w:rsid w:val="00E41333"/>
    <w:rsid w:val="00E4588E"/>
    <w:rsid w:val="00E64B84"/>
    <w:rsid w:val="00E94EEC"/>
    <w:rsid w:val="00EA7A52"/>
    <w:rsid w:val="00F04039"/>
    <w:rsid w:val="00F12860"/>
    <w:rsid w:val="00F22F04"/>
    <w:rsid w:val="00F26002"/>
    <w:rsid w:val="00F8667B"/>
    <w:rsid w:val="00F87198"/>
    <w:rsid w:val="00FA42CE"/>
    <w:rsid w:val="00FA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8D0B7"/>
  <w15:chartTrackingRefBased/>
  <w15:docId w15:val="{C7C796AA-0463-47A7-B472-912794094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FB3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1FB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1FB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FB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FB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F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FB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FB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FB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FB3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D1FB3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7D1FB3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7D1FB3"/>
    <w:rPr>
      <w:rFonts w:ascii="Arial" w:eastAsia="Times New Roman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7D1FB3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7D1FB3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7D1FB3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7D1FB3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7D1FB3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7D1FB3"/>
    <w:rPr>
      <w:rFonts w:ascii="Arial" w:eastAsia="Times New Roman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7D1FB3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7D1FB3"/>
    <w:rPr>
      <w:rFonts w:ascii="Arial" w:eastAsia="Times New Roman" w:hAnsi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FB3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link w:val="Subtitle"/>
    <w:uiPriority w:val="11"/>
    <w:rsid w:val="007D1FB3"/>
    <w:rPr>
      <w:rFonts w:ascii="Arial" w:eastAsia="Times New Roman" w:hAnsi="Arial"/>
      <w:sz w:val="24"/>
      <w:szCs w:val="24"/>
    </w:rPr>
  </w:style>
  <w:style w:type="character" w:styleId="Strong">
    <w:name w:val="Strong"/>
    <w:uiPriority w:val="22"/>
    <w:qFormat/>
    <w:rsid w:val="007D1FB3"/>
    <w:rPr>
      <w:b/>
      <w:bCs/>
    </w:rPr>
  </w:style>
  <w:style w:type="character" w:styleId="Emphasis">
    <w:name w:val="Emphasis"/>
    <w:uiPriority w:val="20"/>
    <w:qFormat/>
    <w:rsid w:val="007D1FB3"/>
    <w:rPr>
      <w:rFonts w:ascii="Times New Roman" w:hAnsi="Times New Roman"/>
      <w:b/>
      <w:i/>
      <w:iCs/>
    </w:rPr>
  </w:style>
  <w:style w:type="paragraph" w:styleId="NoSpacing">
    <w:name w:val="No Spacing"/>
    <w:basedOn w:val="Normal"/>
    <w:uiPriority w:val="1"/>
    <w:qFormat/>
    <w:rsid w:val="007D1FB3"/>
    <w:rPr>
      <w:szCs w:val="32"/>
    </w:rPr>
  </w:style>
  <w:style w:type="paragraph" w:styleId="ListParagraph">
    <w:name w:val="List Paragraph"/>
    <w:basedOn w:val="Normal"/>
    <w:uiPriority w:val="34"/>
    <w:qFormat/>
    <w:rsid w:val="007D1FB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D1FB3"/>
    <w:rPr>
      <w:i/>
    </w:rPr>
  </w:style>
  <w:style w:type="character" w:customStyle="1" w:styleId="QuoteChar">
    <w:name w:val="Quote Char"/>
    <w:link w:val="Quote"/>
    <w:uiPriority w:val="29"/>
    <w:rsid w:val="007D1FB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FB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link w:val="IntenseQuote"/>
    <w:uiPriority w:val="30"/>
    <w:rsid w:val="007D1FB3"/>
    <w:rPr>
      <w:b/>
      <w:i/>
      <w:sz w:val="24"/>
    </w:rPr>
  </w:style>
  <w:style w:type="character" w:styleId="SubtleEmphasis">
    <w:name w:val="Subtle Emphasis"/>
    <w:uiPriority w:val="19"/>
    <w:qFormat/>
    <w:rsid w:val="007D1FB3"/>
    <w:rPr>
      <w:i/>
      <w:color w:val="5A5A5A"/>
    </w:rPr>
  </w:style>
  <w:style w:type="character" w:styleId="IntenseEmphasis">
    <w:name w:val="Intense Emphasis"/>
    <w:uiPriority w:val="21"/>
    <w:qFormat/>
    <w:rsid w:val="007D1FB3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7D1FB3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7D1FB3"/>
    <w:rPr>
      <w:b/>
      <w:sz w:val="24"/>
      <w:u w:val="single"/>
    </w:rPr>
  </w:style>
  <w:style w:type="character" w:styleId="BookTitle">
    <w:name w:val="Book Title"/>
    <w:uiPriority w:val="33"/>
    <w:qFormat/>
    <w:rsid w:val="007D1FB3"/>
    <w:rPr>
      <w:rFonts w:ascii="Arial" w:eastAsia="Times New Roman" w:hAnsi="Arial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FB3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58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C58C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214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214C"/>
    <w:rPr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1214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523AB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D12A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2A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2A1B"/>
    <w:rPr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2A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2A1B"/>
    <w:rPr>
      <w:b/>
      <w:bCs/>
      <w:lang w:bidi="en-US"/>
    </w:rPr>
  </w:style>
  <w:style w:type="character" w:styleId="Hyperlink">
    <w:name w:val="Hyperlink"/>
    <w:basedOn w:val="DefaultParagraphFont"/>
    <w:uiPriority w:val="99"/>
    <w:unhideWhenUsed/>
    <w:rsid w:val="00B6379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03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036B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303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036B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1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pport.sas.com/kb/25/03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9D21A-98E4-4AF1-910D-FA55F2E95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UGA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</dc:creator>
  <cp:keywords/>
  <dc:description/>
  <cp:lastModifiedBy>Liz Geller</cp:lastModifiedBy>
  <cp:revision>7</cp:revision>
  <cp:lastPrinted>2021-02-20T23:44:00Z</cp:lastPrinted>
  <dcterms:created xsi:type="dcterms:W3CDTF">2020-07-14T18:30:00Z</dcterms:created>
  <dcterms:modified xsi:type="dcterms:W3CDTF">2021-08-17T21:22:00Z</dcterms:modified>
</cp:coreProperties>
</file>